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B867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14:paraId="61B6FE90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3C6E0223" w14:textId="77777777" w:rsidR="003E6D9D" w:rsidRDefault="003E6D9D" w:rsidP="00251827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მასწავლებელთა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და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სკოლის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დირექტორთა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პროფესიული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განვითარების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ბენეფიციარებისთვის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სასტუმრო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მომსახურების</w:t>
      </w:r>
      <w:r w:rsidRPr="003E6D9D">
        <w:rPr>
          <w:b/>
          <w:bCs/>
          <w:sz w:val="22"/>
          <w:szCs w:val="22"/>
          <w:lang w:val="ka-GE"/>
        </w:rPr>
        <w:t xml:space="preserve"> </w:t>
      </w:r>
      <w:r w:rsidRPr="003E6D9D">
        <w:rPr>
          <w:rFonts w:ascii="Sylfaen" w:hAnsi="Sylfaen" w:cs="Sylfaen"/>
          <w:b/>
          <w:bCs/>
          <w:sz w:val="22"/>
          <w:szCs w:val="22"/>
          <w:lang w:val="ka-GE"/>
        </w:rPr>
        <w:t>შესყიდვა</w:t>
      </w:r>
      <w:r w:rsidRPr="003E6D9D">
        <w:rPr>
          <w:b/>
          <w:bCs/>
          <w:sz w:val="22"/>
          <w:szCs w:val="22"/>
          <w:lang w:val="ka-GE"/>
        </w:rPr>
        <w:t xml:space="preserve"> </w:t>
      </w:r>
    </w:p>
    <w:p w14:paraId="5B1D6402" w14:textId="6AF3F084" w:rsidR="00DB03B9" w:rsidRPr="00FF1CE7" w:rsidRDefault="003E6D9D" w:rsidP="003E6D9D">
      <w:pPr>
        <w:jc w:val="center"/>
        <w:rPr>
          <w:rFonts w:ascii="Sylfaen" w:hAnsi="Sylfaen"/>
          <w:b/>
        </w:rPr>
      </w:pPr>
      <w:r w:rsidRPr="003E6D9D">
        <w:rPr>
          <w:b/>
          <w:lang w:val="ka-GE"/>
        </w:rPr>
        <w:t>IFB#PP12-A1/GEP/NCS/CB/1</w:t>
      </w:r>
      <w:r w:rsidR="00FF1CE7">
        <w:rPr>
          <w:b/>
        </w:rPr>
        <w:t>2</w:t>
      </w:r>
    </w:p>
    <w:p w14:paraId="41934211" w14:textId="77777777" w:rsidR="003E6D9D" w:rsidRPr="003E6D9D" w:rsidRDefault="003E6D9D" w:rsidP="003E6D9D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11927FD0" w14:textId="42DC0E87"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 (the “</w:t>
      </w:r>
      <w:r w:rsidR="00F36FFF">
        <w:rPr>
          <w:sz w:val="22"/>
          <w:szCs w:val="22"/>
        </w:rPr>
        <w:t xml:space="preserve">Georgia </w:t>
      </w:r>
      <w:r w:rsidRPr="002B5A5D">
        <w:rPr>
          <w:sz w:val="22"/>
          <w:szCs w:val="22"/>
          <w:lang w:val="ka-GE"/>
        </w:rPr>
        <w:t>Compact</w:t>
      </w:r>
      <w:r w:rsidR="00F36FFF">
        <w:rPr>
          <w:sz w:val="22"/>
          <w:szCs w:val="22"/>
        </w:rPr>
        <w:t xml:space="preserve"> II</w:t>
      </w:r>
      <w:r w:rsidRPr="002B5A5D">
        <w:rPr>
          <w:sz w:val="22"/>
          <w:szCs w:val="22"/>
          <w:lang w:val="ka-GE"/>
        </w:rPr>
        <w:t>”)</w:t>
      </w:r>
      <w:r w:rsidRPr="002B5A5D">
        <w:rPr>
          <w:rFonts w:ascii="Sylfaen" w:hAnsi="Sylfaen"/>
          <w:sz w:val="22"/>
          <w:szCs w:val="22"/>
          <w:lang w:val="ka-GE"/>
        </w:rPr>
        <w:t xml:space="preserve">  140,000,000,00 აშშ დოლარის </w:t>
      </w:r>
      <w:r w:rsidR="00F36FFF">
        <w:rPr>
          <w:rFonts w:ascii="Sylfaen" w:hAnsi="Sylfaen"/>
          <w:sz w:val="22"/>
          <w:szCs w:val="22"/>
          <w:lang w:val="ka-GE"/>
        </w:rPr>
        <w:t>მეორე კომპაქტს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="00F36FFF">
        <w:rPr>
          <w:rFonts w:ascii="Sylfaen" w:hAnsi="Sylfaen" w:cs="Sylfaen"/>
          <w:sz w:val="22"/>
          <w:szCs w:val="22"/>
          <w:lang w:val="ka-GE"/>
        </w:rPr>
        <w:t>,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</w:t>
      </w:r>
      <w:r w:rsidR="000D5F29">
        <w:rPr>
          <w:rFonts w:ascii="Sylfaen" w:hAnsi="Sylfaen"/>
          <w:sz w:val="22"/>
          <w:szCs w:val="22"/>
          <w:lang w:val="ka-GE"/>
        </w:rPr>
        <w:t>ო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ათასწლეულის გამოწვევის ფონდი-საქართველოს ვებ</w:t>
      </w:r>
      <w:r w:rsidR="00F36FFF">
        <w:rPr>
          <w:rFonts w:ascii="Sylfaen" w:hAnsi="Sylfaen"/>
          <w:sz w:val="22"/>
          <w:szCs w:val="22"/>
          <w:lang w:val="ka-GE"/>
        </w:rPr>
        <w:t>-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გვერდებზე </w:t>
      </w:r>
      <w:r w:rsidR="00F36FFF">
        <w:rPr>
          <w:rFonts w:ascii="Sylfaen" w:hAnsi="Sylfaen"/>
          <w:sz w:val="22"/>
          <w:szCs w:val="22"/>
          <w:lang w:val="ka-GE"/>
        </w:rPr>
        <w:t>(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F36FFF">
        <w:rPr>
          <w:rFonts w:ascii="Sylfaen" w:hAnsi="Sylfaen"/>
          <w:sz w:val="22"/>
          <w:szCs w:val="22"/>
          <w:lang w:val="ka-GE"/>
        </w:rPr>
        <w:t>).</w:t>
      </w:r>
      <w:r w:rsidR="003B3670" w:rsidRPr="002B5A5D">
        <w:rPr>
          <w:sz w:val="22"/>
          <w:szCs w:val="22"/>
          <w:lang w:val="ka-GE"/>
        </w:rPr>
        <w:t>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14:paraId="3C3E154C" w14:textId="77777777"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14:paraId="34C3CA12" w14:textId="0DA84D6E"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</w:t>
      </w:r>
      <w:r w:rsidRPr="00F36FFF">
        <w:rPr>
          <w:rFonts w:ascii="Sylfaen" w:hAnsi="Sylfaen"/>
          <w:sz w:val="22"/>
          <w:szCs w:val="22"/>
          <w:lang w:val="ka-GE"/>
        </w:rPr>
        <w:t xml:space="preserve">საქართველო </w:t>
      </w:r>
      <w:r w:rsidRPr="005E0C06">
        <w:rPr>
          <w:rFonts w:ascii="Sylfaen" w:hAnsi="Sylfaen"/>
          <w:sz w:val="22"/>
          <w:szCs w:val="22"/>
          <w:lang w:val="ka-GE"/>
        </w:rPr>
        <w:t>გთავაზობთ</w:t>
      </w:r>
      <w:r w:rsidRPr="002B5A5D">
        <w:rPr>
          <w:rFonts w:ascii="Sylfaen" w:hAnsi="Sylfaen"/>
          <w:sz w:val="22"/>
          <w:szCs w:val="22"/>
          <w:lang w:val="ka-GE"/>
        </w:rPr>
        <w:t xml:space="preserve">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</w:t>
      </w:r>
      <w:r w:rsidR="003E6D9D" w:rsidRPr="003E6D9D">
        <w:rPr>
          <w:rFonts w:ascii="Sylfaen" w:hAnsi="Sylfaen"/>
          <w:sz w:val="22"/>
          <w:szCs w:val="22"/>
          <w:lang w:val="ka-GE"/>
        </w:rPr>
        <w:t>მასწავლებელთა და სკოლის დირექტორთა პროფესიული განვითარების პროექტის ბენეფიციარებისთვის სასტუმრო მომსახურების შესყიდვასთან დაკავშირებით IFB#PP12-A1/GEP/NCS/CB/11  მოცემულ ლოტებზე:</w:t>
      </w:r>
      <w:r w:rsidR="00E05C70">
        <w:rPr>
          <w:rFonts w:ascii="Sylfaen" w:hAnsi="Sylfaen"/>
          <w:sz w:val="22"/>
          <w:szCs w:val="22"/>
          <w:lang w:val="ka-GE"/>
        </w:rPr>
        <w:t>:</w:t>
      </w:r>
    </w:p>
    <w:p w14:paraId="562BD6A0" w14:textId="77777777" w:rsidR="00251827" w:rsidRPr="00F5657F" w:rsidRDefault="00251827" w:rsidP="00251827">
      <w:pPr>
        <w:rPr>
          <w:b/>
          <w:i/>
          <w:lang w:val="ka-GE"/>
        </w:rPr>
      </w:pPr>
    </w:p>
    <w:p w14:paraId="2E698B27" w14:textId="76CED1BF" w:rsidR="003E6D9D" w:rsidRPr="003E6D9D" w:rsidRDefault="003E6D9D" w:rsidP="003E6D9D">
      <w:pPr>
        <w:spacing w:after="60"/>
        <w:contextualSpacing/>
        <w:jc w:val="both"/>
        <w:rPr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ლოტი</w:t>
      </w:r>
      <w:r w:rsidR="00FF1CE7">
        <w:rPr>
          <w:b/>
          <w:i/>
          <w:lang w:val="ka-GE"/>
        </w:rPr>
        <w:t xml:space="preserve"> 1: PP12-A1/GEP/NCS/CB/12</w:t>
      </w:r>
      <w:r w:rsidRPr="003E6D9D">
        <w:rPr>
          <w:b/>
          <w:i/>
          <w:lang w:val="ka-GE"/>
        </w:rPr>
        <w:t xml:space="preserve"> -1 - </w:t>
      </w:r>
      <w:r w:rsidR="00FF1CE7">
        <w:rPr>
          <w:rFonts w:ascii="Sylfaen" w:hAnsi="Sylfaen"/>
          <w:b/>
          <w:i/>
          <w:lang w:val="ka-GE"/>
        </w:rPr>
        <w:t>თბილისი/შემოგარენი</w:t>
      </w:r>
    </w:p>
    <w:p w14:paraId="5CC7A9BF" w14:textId="77777777" w:rsidR="003E6D9D" w:rsidRPr="003E6D9D" w:rsidRDefault="003E6D9D" w:rsidP="003E6D9D">
      <w:pPr>
        <w:spacing w:after="6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13189BD" w14:textId="14B9E4F2" w:rsidR="00234C43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="00F36FFF">
        <w:rPr>
          <w:rFonts w:ascii="Sylfaen" w:hAnsi="Sylfaen" w:cs="Sylfaen"/>
          <w:sz w:val="22"/>
          <w:szCs w:val="22"/>
          <w:lang w:val="ka-GE"/>
        </w:rPr>
        <w:t>,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</w:t>
      </w:r>
      <w:r w:rsidR="00F36FFF">
        <w:rPr>
          <w:rFonts w:ascii="Sylfaen" w:hAnsi="Sylfaen"/>
          <w:sz w:val="22"/>
          <w:szCs w:val="22"/>
          <w:lang w:val="ka-GE"/>
        </w:rPr>
        <w:t>-</w:t>
      </w:r>
      <w:r w:rsidR="009E3CDC" w:rsidRPr="006C115B">
        <w:rPr>
          <w:rFonts w:ascii="Sylfaen" w:hAnsi="Sylfaen"/>
          <w:sz w:val="22"/>
          <w:szCs w:val="22"/>
          <w:lang w:val="ka-GE"/>
        </w:rPr>
        <w:t>გვერდზე</w:t>
      </w:r>
      <w:r w:rsidR="00F36FFF">
        <w:rPr>
          <w:rFonts w:ascii="Sylfaen" w:hAnsi="Sylfaen"/>
          <w:sz w:val="22"/>
          <w:szCs w:val="22"/>
          <w:lang w:val="ka-GE"/>
        </w:rPr>
        <w:t>: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</w:t>
      </w:r>
      <w:hyperlink r:id="rId10" w:history="1">
        <w:r w:rsidR="00234C43" w:rsidRPr="00234C43">
          <w:rPr>
            <w:rStyle w:val="Hyperlink"/>
            <w:lang w:val="ka-GE"/>
          </w:rPr>
          <w:t>https://www.mcc.gov/resources/doc/program-procurement-guidelines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>.</w:t>
      </w:r>
    </w:p>
    <w:p w14:paraId="247DF985" w14:textId="77777777" w:rsidR="00234C43" w:rsidRDefault="00234C4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0FDA1F56" w14:textId="77777777" w:rsidR="005A004D" w:rsidRPr="006C115B" w:rsidRDefault="005E44C5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="00002193"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14:paraId="3DF0ECAD" w14:textId="77777777"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14:paraId="4C8AFCAE" w14:textId="1D311E71" w:rsidR="00AD75C5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  <w:r w:rsidRPr="002E1F09">
        <w:rPr>
          <w:rFonts w:ascii="Sylfaen" w:hAnsi="Sylfaen"/>
          <w:sz w:val="22"/>
          <w:szCs w:val="22"/>
          <w:lang w:val="ka-GE"/>
        </w:rPr>
        <w:t>წინასატენდერო შეხვედრა გაიმართება 201</w:t>
      </w:r>
      <w:r w:rsidR="00AD75C5" w:rsidRPr="002E1F09">
        <w:rPr>
          <w:rFonts w:ascii="Sylfaen" w:hAnsi="Sylfaen"/>
          <w:sz w:val="22"/>
          <w:szCs w:val="22"/>
          <w:lang w:val="ka-GE"/>
        </w:rPr>
        <w:t>8</w:t>
      </w:r>
      <w:r w:rsidRPr="002E1F09">
        <w:rPr>
          <w:rFonts w:ascii="Sylfaen" w:hAnsi="Sylfaen"/>
          <w:sz w:val="22"/>
          <w:szCs w:val="22"/>
          <w:lang w:val="ka-GE"/>
        </w:rPr>
        <w:t xml:space="preserve"> წლის </w:t>
      </w:r>
      <w:r w:rsidR="002E1F09" w:rsidRPr="002E1F09">
        <w:rPr>
          <w:rFonts w:ascii="Sylfaen" w:hAnsi="Sylfaen"/>
          <w:b/>
          <w:sz w:val="22"/>
          <w:szCs w:val="22"/>
          <w:lang w:val="ka-GE"/>
        </w:rPr>
        <w:t>18 ივნისი</w:t>
      </w:r>
      <w:r w:rsidR="00F36FFF" w:rsidRPr="002E1F09">
        <w:rPr>
          <w:rFonts w:ascii="Sylfaen" w:hAnsi="Sylfaen"/>
          <w:b/>
          <w:sz w:val="22"/>
          <w:szCs w:val="22"/>
          <w:lang w:val="ka-GE"/>
        </w:rPr>
        <w:t>,</w:t>
      </w:r>
      <w:r w:rsidR="003105FA" w:rsidRPr="002E1F0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E1F09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2E1F09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 w:rsidRPr="002E1F09">
        <w:rPr>
          <w:rFonts w:ascii="Sylfaen" w:hAnsi="Sylfaen"/>
          <w:b/>
          <w:sz w:val="22"/>
          <w:szCs w:val="22"/>
          <w:lang w:val="ka-GE"/>
        </w:rPr>
        <w:t>1</w:t>
      </w:r>
      <w:r w:rsidRPr="002E1F09">
        <w:rPr>
          <w:rFonts w:ascii="Sylfaen" w:hAnsi="Sylfaen"/>
          <w:b/>
          <w:sz w:val="22"/>
          <w:szCs w:val="22"/>
          <w:lang w:val="ka-GE"/>
        </w:rPr>
        <w:t>:00 საათზე</w:t>
      </w:r>
      <w:r w:rsidR="00F36FFF" w:rsidRPr="002E1F09">
        <w:rPr>
          <w:rFonts w:ascii="Sylfaen" w:hAnsi="Sylfaen"/>
          <w:b/>
          <w:sz w:val="22"/>
          <w:szCs w:val="22"/>
          <w:lang w:val="ka-GE"/>
        </w:rPr>
        <w:t>,</w:t>
      </w:r>
      <w:r w:rsidRPr="002E1F0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D60E6" w:rsidRPr="002E1F09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2E1F09">
        <w:rPr>
          <w:b/>
          <w:sz w:val="22"/>
          <w:szCs w:val="22"/>
          <w:lang w:val="ka-GE"/>
        </w:rPr>
        <w:t>(GM</w:t>
      </w:r>
      <w:r w:rsidR="00BD60E6" w:rsidRPr="002E1F09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2E1F09">
        <w:rPr>
          <w:b/>
          <w:sz w:val="22"/>
          <w:szCs w:val="22"/>
          <w:lang w:val="ka-GE"/>
        </w:rPr>
        <w:t>+4)</w:t>
      </w:r>
      <w:r w:rsidR="00A72FD3" w:rsidRPr="002E1F09">
        <w:rPr>
          <w:rFonts w:ascii="Sylfaen" w:hAnsi="Sylfaen"/>
          <w:b/>
          <w:sz w:val="22"/>
          <w:szCs w:val="22"/>
          <w:lang w:val="ka-GE"/>
        </w:rPr>
        <w:t>.</w:t>
      </w:r>
      <w:r w:rsidR="00A72FD3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0B0C7F7F" w14:textId="1E2EFB13" w:rsidR="00DB03B9" w:rsidRPr="00BD60E6" w:rsidRDefault="00F36FFF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  <w:r w:rsidR="00AD2248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14:paraId="5558C3AD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4957B25E" w14:textId="701A5B05"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 სართული, საკონფერენციო ოთახი</w:t>
      </w:r>
    </w:p>
    <w:p w14:paraId="446296EA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14:paraId="154475E3" w14:textId="3E22BC70"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რეკომენდებულია ყველა დაინტერესებული კომპანიისათვის, მაგრამ არ არის სავალდებულო. </w:t>
      </w:r>
    </w:p>
    <w:p w14:paraId="7E6B47FF" w14:textId="5DE6F698"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 w:rsidR="00F36FFF">
        <w:rPr>
          <w:rFonts w:ascii="Sylfaen" w:hAnsi="Sylfaen"/>
          <w:sz w:val="22"/>
          <w:szCs w:val="22"/>
          <w:lang w:val="ka-GE"/>
        </w:rPr>
        <w:t xml:space="preserve"> </w:t>
      </w:r>
      <w:r w:rsidR="00F36FFF" w:rsidRPr="00412817">
        <w:rPr>
          <w:rFonts w:ascii="Sylfaen" w:hAnsi="Sylfaen"/>
          <w:b/>
          <w:sz w:val="22"/>
          <w:szCs w:val="22"/>
          <w:lang w:val="ka-GE"/>
        </w:rPr>
        <w:t>2018 წლის</w:t>
      </w:r>
      <w:r w:rsidRPr="0041281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1CE7">
        <w:rPr>
          <w:rFonts w:ascii="Sylfaen" w:hAnsi="Sylfaen"/>
          <w:b/>
          <w:sz w:val="22"/>
          <w:szCs w:val="22"/>
        </w:rPr>
        <w:t xml:space="preserve">22 </w:t>
      </w:r>
      <w:r w:rsidR="00FF1CE7">
        <w:rPr>
          <w:rFonts w:ascii="Sylfaen" w:hAnsi="Sylfaen"/>
          <w:b/>
          <w:sz w:val="22"/>
          <w:szCs w:val="22"/>
          <w:lang w:val="ka-GE"/>
        </w:rPr>
        <w:t>ივნისს</w:t>
      </w:r>
      <w:r w:rsidR="00F36FFF">
        <w:rPr>
          <w:rFonts w:ascii="Sylfaen" w:hAnsi="Sylfaen"/>
          <w:sz w:val="22"/>
          <w:szCs w:val="22"/>
          <w:lang w:val="ka-GE"/>
        </w:rPr>
        <w:t xml:space="preserve"> </w:t>
      </w:r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>+4)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14:paraId="74B60D3A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07265333" w14:textId="26425219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</w:p>
    <w:p w14:paraId="64527902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4AF92561" w14:textId="72D6BB83" w:rsidR="00382B36" w:rsidRPr="002B5A5D" w:rsidRDefault="001E3854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>(შენობაში</w:t>
      </w:r>
      <w:r w:rsidR="00F36FFF">
        <w:rPr>
          <w:rFonts w:ascii="Sylfaen" w:hAnsi="Sylfaen"/>
          <w:b/>
          <w:sz w:val="22"/>
          <w:szCs w:val="22"/>
          <w:u w:val="single"/>
          <w:lang w:val="ka-GE"/>
        </w:rPr>
        <w:t xml:space="preserve"> შემოსასლველად</w:t>
      </w: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 xml:space="preserve"> ლიფტს ვერ გამოიყენებთ)</w:t>
      </w:r>
    </w:p>
    <w:p w14:paraId="531BEA68" w14:textId="77777777" w:rsidR="001E3854" w:rsidRDefault="001E3854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70FC6E65" w14:textId="556AF08A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</w:t>
      </w:r>
      <w:r w:rsidR="00F36FFF">
        <w:rPr>
          <w:rFonts w:ascii="Sylfaen" w:hAnsi="Sylfaen"/>
          <w:sz w:val="22"/>
          <w:szCs w:val="22"/>
          <w:lang w:val="ka-GE"/>
        </w:rPr>
        <w:t>იმავე</w:t>
      </w:r>
      <w:r w:rsidR="00F36FFF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>დროს</w:t>
      </w:r>
      <w:r w:rsidR="00F36FFF">
        <w:rPr>
          <w:rFonts w:ascii="Sylfaen" w:hAnsi="Sylfaen"/>
          <w:sz w:val="22"/>
          <w:szCs w:val="22"/>
          <w:lang w:val="ka-GE"/>
        </w:rPr>
        <w:t>ა და ადგილას</w:t>
      </w:r>
      <w:r w:rsidR="003E6D9D">
        <w:rPr>
          <w:rFonts w:ascii="Sylfaen" w:hAnsi="Sylfaen"/>
          <w:sz w:val="22"/>
          <w:szCs w:val="22"/>
          <w:lang w:val="ka-GE"/>
        </w:rPr>
        <w:t>,</w:t>
      </w:r>
      <w:r w:rsidR="00112473">
        <w:rPr>
          <w:rFonts w:ascii="Sylfaen" w:hAnsi="Sylfaen"/>
          <w:sz w:val="22"/>
          <w:szCs w:val="22"/>
          <w:lang w:val="ka-GE"/>
        </w:rPr>
        <w:t xml:space="preserve"> </w:t>
      </w:r>
      <w:r w:rsidR="007A7543">
        <w:rPr>
          <w:rFonts w:ascii="Sylfaen" w:hAnsi="Sylfaen"/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FF1CE7">
        <w:rPr>
          <w:rFonts w:ascii="Sylfaen" w:hAnsi="Sylfaen"/>
          <w:b/>
          <w:sz w:val="22"/>
          <w:szCs w:val="22"/>
          <w:lang w:val="ka-GE"/>
        </w:rPr>
        <w:t>22 ივნისს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14:paraId="4DB2FC6E" w14:textId="77777777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668AE180" w14:textId="3C4A0BF8"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</w:t>
      </w:r>
      <w:r w:rsidR="00F36FFF"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რაც კურიერული მომსახურების დროს </w:t>
      </w:r>
      <w:r w:rsidR="00F36FFF">
        <w:rPr>
          <w:rFonts w:ascii="Sylfaen" w:hAnsi="Sylfaen"/>
          <w:sz w:val="22"/>
          <w:szCs w:val="22"/>
          <w:lang w:val="ka-GE"/>
        </w:rPr>
        <w:t>შეიძლება</w:t>
      </w:r>
      <w:r w:rsidR="00F36FFF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>წარმოიშვას.</w:t>
      </w:r>
    </w:p>
    <w:p w14:paraId="78F9C7A9" w14:textId="77777777"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216D8845" w14:textId="639CD3AA"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="003E6D9D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14:paraId="02118BDF" w14:textId="77777777"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14:paraId="36794B72" w14:textId="66517070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val="ka-GE" w:eastAsia="zh-CN"/>
        </w:rPr>
        <w:t>ათასწლეულის გამოწვევის ფონდი - საქართველო</w:t>
      </w:r>
    </w:p>
    <w:p w14:paraId="6650159A" w14:textId="77777777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eastAsia="zh-CN"/>
        </w:rPr>
        <w:t>Att</w:t>
      </w:r>
      <w:r w:rsidRPr="0054532B">
        <w:rPr>
          <w:rFonts w:ascii="Sylfaen" w:eastAsia="SimSun" w:hAnsi="Sylfaen"/>
          <w:szCs w:val="24"/>
          <w:lang w:val="ka-GE" w:eastAsia="zh-CN"/>
        </w:rPr>
        <w:t>: ქეთევან თათეშვილი, შესყიდვების კონსულტანტი</w:t>
      </w:r>
    </w:p>
    <w:p w14:paraId="29598FD6" w14:textId="77777777" w:rsidR="003E6D9D" w:rsidRPr="0054532B" w:rsidRDefault="003E6D9D" w:rsidP="003E6D9D">
      <w:pPr>
        <w:pStyle w:val="ChapterNumber"/>
        <w:tabs>
          <w:tab w:val="left" w:pos="720"/>
        </w:tabs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Email:  </w:t>
      </w:r>
      <w:hyperlink r:id="rId11" w:history="1">
        <w:r w:rsidRPr="0054532B">
          <w:rPr>
            <w:rStyle w:val="Hyperlink"/>
            <w:rFonts w:ascii="Sylfaen" w:eastAsia="SimSun" w:hAnsi="Sylfaen"/>
            <w:szCs w:val="24"/>
            <w:lang w:eastAsia="zh-CN"/>
          </w:rPr>
          <w:t>ktateshvili</w:t>
        </w:r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@mcageorgia.ge</w:t>
        </w:r>
      </w:hyperlink>
    </w:p>
    <w:p w14:paraId="6BEFC4E1" w14:textId="77777777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Cc: </w:t>
      </w:r>
      <w:hyperlink r:id="rId12" w:history="1"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procurement@mcageorgia.ge</w:t>
        </w:r>
      </w:hyperlink>
      <w:r w:rsidRPr="0054532B">
        <w:rPr>
          <w:rFonts w:ascii="Sylfaen" w:eastAsia="SimSun" w:hAnsi="Sylfaen"/>
          <w:szCs w:val="24"/>
          <w:lang w:val="ka-GE" w:eastAsia="zh-CN"/>
        </w:rPr>
        <w:t xml:space="preserve"> </w:t>
      </w:r>
    </w:p>
    <w:p w14:paraId="6860D828" w14:textId="77777777" w:rsidR="003E6D9D" w:rsidRPr="0054532B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szCs w:val="24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>ტელეფონი: +9955</w:t>
      </w:r>
      <w:r w:rsidRPr="0054532B">
        <w:rPr>
          <w:rFonts w:ascii="Sylfaen" w:eastAsia="SimSun" w:hAnsi="Sylfaen"/>
          <w:szCs w:val="24"/>
          <w:lang w:eastAsia="zh-CN"/>
        </w:rPr>
        <w:t>57408990</w:t>
      </w:r>
    </w:p>
    <w:p w14:paraId="12906680" w14:textId="77777777" w:rsidR="00615490" w:rsidRPr="00615490" w:rsidRDefault="0061549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 w:rsidR="007A7543">
        <w:rPr>
          <w:rFonts w:ascii="Sylfaen" w:eastAsia="SimSun" w:hAnsi="Sylfaen"/>
          <w:szCs w:val="22"/>
          <w:lang w:val="ka-GE" w:eastAsia="zh-CN"/>
        </w:rPr>
        <w:t xml:space="preserve"> </w:t>
      </w:r>
    </w:p>
    <w:p w14:paraId="48B90A46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</w:p>
    <w:p w14:paraId="7DCC0E18" w14:textId="77777777"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1845B9CA" w14:textId="77777777"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14:paraId="45F532A7" w14:textId="77777777"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14:paraId="6AA51A51" w14:textId="77777777"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9929" w14:textId="77777777" w:rsidR="008A50DE" w:rsidRDefault="008A50DE" w:rsidP="00DB03B9">
      <w:r>
        <w:separator/>
      </w:r>
    </w:p>
  </w:endnote>
  <w:endnote w:type="continuationSeparator" w:id="0">
    <w:p w14:paraId="70BAEECB" w14:textId="77777777" w:rsidR="008A50DE" w:rsidRDefault="008A50DE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CB5F" w14:textId="77777777" w:rsidR="008A50DE" w:rsidRDefault="008A50DE" w:rsidP="00DB03B9">
      <w:r>
        <w:separator/>
      </w:r>
    </w:p>
  </w:footnote>
  <w:footnote w:type="continuationSeparator" w:id="0">
    <w:p w14:paraId="4D9CC1FD" w14:textId="77777777" w:rsidR="008A50DE" w:rsidRDefault="008A50DE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B411D"/>
    <w:rsid w:val="000B5DFB"/>
    <w:rsid w:val="000D5F29"/>
    <w:rsid w:val="000F5EC4"/>
    <w:rsid w:val="00111A71"/>
    <w:rsid w:val="00112473"/>
    <w:rsid w:val="001303B4"/>
    <w:rsid w:val="001B1F95"/>
    <w:rsid w:val="001E3854"/>
    <w:rsid w:val="00234C43"/>
    <w:rsid w:val="00251827"/>
    <w:rsid w:val="00251DC6"/>
    <w:rsid w:val="00254B6F"/>
    <w:rsid w:val="00255909"/>
    <w:rsid w:val="00260F2F"/>
    <w:rsid w:val="00263311"/>
    <w:rsid w:val="00293E74"/>
    <w:rsid w:val="00296A8C"/>
    <w:rsid w:val="002B137F"/>
    <w:rsid w:val="002B5A5D"/>
    <w:rsid w:val="002B7FC4"/>
    <w:rsid w:val="002E1F09"/>
    <w:rsid w:val="00307152"/>
    <w:rsid w:val="003105FA"/>
    <w:rsid w:val="0032336F"/>
    <w:rsid w:val="00382B36"/>
    <w:rsid w:val="00383447"/>
    <w:rsid w:val="003B256F"/>
    <w:rsid w:val="003B3670"/>
    <w:rsid w:val="003E6D9D"/>
    <w:rsid w:val="00412817"/>
    <w:rsid w:val="004B2F9E"/>
    <w:rsid w:val="004C0F31"/>
    <w:rsid w:val="004E3EB4"/>
    <w:rsid w:val="004F4413"/>
    <w:rsid w:val="005175B4"/>
    <w:rsid w:val="00521133"/>
    <w:rsid w:val="005312D3"/>
    <w:rsid w:val="00542458"/>
    <w:rsid w:val="0055694F"/>
    <w:rsid w:val="00563B67"/>
    <w:rsid w:val="005A004D"/>
    <w:rsid w:val="005A1D75"/>
    <w:rsid w:val="005D4D1F"/>
    <w:rsid w:val="005E0C06"/>
    <w:rsid w:val="005E44C5"/>
    <w:rsid w:val="00615490"/>
    <w:rsid w:val="0062116C"/>
    <w:rsid w:val="00645B53"/>
    <w:rsid w:val="0064616C"/>
    <w:rsid w:val="006A4999"/>
    <w:rsid w:val="006C115B"/>
    <w:rsid w:val="006E3E0F"/>
    <w:rsid w:val="0071012E"/>
    <w:rsid w:val="00750CC3"/>
    <w:rsid w:val="007572E0"/>
    <w:rsid w:val="007A7543"/>
    <w:rsid w:val="007B7B30"/>
    <w:rsid w:val="007D38BE"/>
    <w:rsid w:val="007F1B7F"/>
    <w:rsid w:val="00847436"/>
    <w:rsid w:val="008575B0"/>
    <w:rsid w:val="008758DF"/>
    <w:rsid w:val="008A50DE"/>
    <w:rsid w:val="008F6A49"/>
    <w:rsid w:val="00910A0D"/>
    <w:rsid w:val="00915639"/>
    <w:rsid w:val="009B4C4D"/>
    <w:rsid w:val="009E3CDC"/>
    <w:rsid w:val="00A13D32"/>
    <w:rsid w:val="00A54E6C"/>
    <w:rsid w:val="00A72FD3"/>
    <w:rsid w:val="00A826CC"/>
    <w:rsid w:val="00A8456E"/>
    <w:rsid w:val="00A97B86"/>
    <w:rsid w:val="00AA09B8"/>
    <w:rsid w:val="00AB299C"/>
    <w:rsid w:val="00AD2248"/>
    <w:rsid w:val="00AD75C5"/>
    <w:rsid w:val="00AF6EF4"/>
    <w:rsid w:val="00B21DC2"/>
    <w:rsid w:val="00B919B8"/>
    <w:rsid w:val="00BD06C0"/>
    <w:rsid w:val="00BD45CB"/>
    <w:rsid w:val="00BD60E6"/>
    <w:rsid w:val="00C508C7"/>
    <w:rsid w:val="00C607E4"/>
    <w:rsid w:val="00CA0E13"/>
    <w:rsid w:val="00CC6AD6"/>
    <w:rsid w:val="00CD527C"/>
    <w:rsid w:val="00CE206E"/>
    <w:rsid w:val="00D609A1"/>
    <w:rsid w:val="00D62B5E"/>
    <w:rsid w:val="00DB03B9"/>
    <w:rsid w:val="00DD42D5"/>
    <w:rsid w:val="00E05C70"/>
    <w:rsid w:val="00E13ADD"/>
    <w:rsid w:val="00E1455C"/>
    <w:rsid w:val="00E277E6"/>
    <w:rsid w:val="00E42736"/>
    <w:rsid w:val="00E728CF"/>
    <w:rsid w:val="00E83F39"/>
    <w:rsid w:val="00E87C93"/>
    <w:rsid w:val="00ED5435"/>
    <w:rsid w:val="00EF4045"/>
    <w:rsid w:val="00F049D4"/>
    <w:rsid w:val="00F26E0D"/>
    <w:rsid w:val="00F36FFF"/>
    <w:rsid w:val="00F5353F"/>
    <w:rsid w:val="00F5657F"/>
    <w:rsid w:val="00F65C92"/>
    <w:rsid w:val="00FA6575"/>
    <w:rsid w:val="00FB5A75"/>
    <w:rsid w:val="00FD1B8A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A230"/>
  <w15:docId w15:val="{489CB3CE-05EA-4971-8DA0-50CB61E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ateshvili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/doc/program-procurement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C6AA-0A19-422A-A52A-AAE6C0CA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MCAG</dc:creator>
  <cp:lastModifiedBy>Keti</cp:lastModifiedBy>
  <cp:revision>11</cp:revision>
  <dcterms:created xsi:type="dcterms:W3CDTF">2018-04-13T12:45:00Z</dcterms:created>
  <dcterms:modified xsi:type="dcterms:W3CDTF">2018-06-12T06:27:00Z</dcterms:modified>
</cp:coreProperties>
</file>